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на антивирусное программное обеспечение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- 15.01.10043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компания». Kaspersky Endpoint Security для бизнеса – Расширенный Russian Edition. 5000+ Node 3 year Renewal License - Лицензия являются новыми НМА.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t xml:space="preserve"> В настоящее время в АО «Петербургская сбытовая компания» приобретена трехлетняя лицензия на антивирусное программное обеспечение «Kaspersky Endpoint Security для бизнеса»на 1700 хостов, срок использования истекает в январе 2028 г. и необходимо продление. ПО требуется для обеспечения безопасности корпоративной ИТ-инфраструктуры, защиты серверных и пользовательских информационных систем центрального офиса и ОСЭ. На сегодняшний день фактическое количество хостов по данным сервера лицензирования составляет 1574, из них 1350 - рабочие станции, общее число приобретаемых лицензий определено с учетом резерва, учитывая срок действия лицензий.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Обеспечение надёжной защиты от вирусных угроз на компьютерах и серверах Общества на последующие 3 года.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Антивирусное программное обеспечение, разработанное Лабораторией Касперского, рекомендовано к использованию в рамках Группы «Интер РАО».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Продукт «Kaspersky Endpoint Security для бизнеса – Расширенный» позволит осуществить антивирусную защиту и мониторинг на уровне рабочих мест, информационных систем и серверов.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Состав закупаемых в 2028 году прав использования программ для ЭВМ :</w:t>
      </w:r>
      <w:r>
        <w:t xml:space="preserve">KL4867RAYTR</w:t>
      </w:r>
      <w:r>
        <w:tab/>
      </w:r>
      <w:r>
        <w:t xml:space="preserve">Kaspersky Endpoint Security для бизнеса – Расширенный Russian Edition. 5000+ Node 3 year Renewal License - Лицензия</w:t>
      </w:r>
      <w:r>
        <w:tab/>
      </w:r>
      <w:r>
        <w:t xml:space="preserve">1700шт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включён в стратегические документы компании и не связан с другими проектами компании.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- 1 квартал 2028 г.</w:t>
      </w:r>
      <w:r/>
    </w:p>
    <w:p>
      <w:pPr>
        <w:pStyle w:val="632"/>
        <w:spacing w:before="57"/>
      </w:pPr>
      <w:r>
        <w:t xml:space="preserve">Завершение работ - 1 квартал 2028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769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70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70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0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70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71"/>
            </w:pPr>
            <w:r/>
            <w:r>
              <w:t xml:space="preserve">9 494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71"/>
            </w:pPr>
            <w:r/>
            <w:r>
              <w:t xml:space="preserve">9 494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9 494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9 494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9 494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9 494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769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770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770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770"/>
            </w:pPr>
            <w:r/>
            <w:r>
              <w:t xml:space="preserve">2028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770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772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771"/>
            </w:pPr>
            <w:r/>
            <w:r>
              <w:t xml:space="preserve">11 583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771"/>
            </w:pPr>
            <w:r/>
            <w:r>
              <w:t xml:space="preserve">11 583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11 583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11 583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772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11 583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771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11 583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769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770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770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70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770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769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770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771">
    <w:name w:val="Таблица 1. Число"/>
    <w:basedOn w:val="770"/>
    <w:uiPriority w:val="1"/>
    <w:qFormat/>
    <w:pPr>
      <w:jc w:val="right"/>
    </w:pPr>
    <w:rPr/>
  </w:style>
  <w:style w:type="paragraph" w:styleId="772">
    <w:name w:val="Таблица 1. Строка"/>
    <w:basedOn w:val="770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2026-03-03T12:20:02Z</dcterms:modified>
</cp:coreProperties>
</file>